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rFonts w:ascii="Calibri" w:hAnsi="Calibri"/>
          <w:b/>
          <w:color w:val="1A1A1A"/>
          <w:sz w:val="40"/>
        </w:rPr>
        <w:t xml:space="preserve">AI use policy template for law firms</w:t>
      </w:r>
    </w:p>
    <w:p>
      <w:pPr>
        <w:spacing w:after="160"/>
      </w:pPr>
      <w:r>
        <w:rPr>
          <w:rFonts w:ascii="Calibri" w:hAnsi="Calibri"/>
          <w:color w:val="262626"/>
          <w:sz w:val="22"/>
        </w:rPr>
        <w:t xml:space="preserve">Built from the 77 AI policies US law firms publish on their own websites (Fulkerson Advisors, October 2026, fulkersonadvisors.com/research/lawyers-using-ai). The clauses run from the most common to the least, and each says how many of those policies include it. The wording is ours. Put in your firm's name, keep what fits and have your own counsel review it. This template is not legal advice.</w:t>
      </w:r>
    </w:p>
    <w:p>
      <w:pPr>
        <w:spacing w:after="80"/>
      </w:pPr>
      <w:r>
        <w:rPr>
          <w:rFonts w:ascii="Calibri" w:hAnsi="Calibri"/>
          <w:b/>
          <w:color w:val="1A1A1A"/>
          <w:sz w:val="26"/>
        </w:rPr>
        <w:t xml:space="preserve">[Firm name] AI use policy</w:t>
      </w:r>
    </w:p>
    <w:p>
      <w:pPr>
        <w:spacing w:after="160"/>
      </w:pPr>
      <w:r>
        <w:rPr>
          <w:rFonts w:ascii="Calibri" w:hAnsi="Calibri"/>
          <w:color w:val="262626"/>
          <w:sz w:val="22"/>
        </w:rPr>
        <w:t xml:space="preserve">This policy covers every lawyer and staff member at [Firm name] who uses artificial intelligence (AI) tools, including generative AI, in client work or in running the firm.</w:t>
      </w:r>
    </w:p>
    <w:p>
      <w:pPr>
        <w:spacing w:after="80"/>
      </w:pPr>
      <w:r>
        <w:rPr>
          <w:rFonts w:ascii="Calibri" w:hAnsi="Calibri"/>
          <w:b/>
          <w:color w:val="1A1A1A"/>
          <w:sz w:val="26"/>
        </w:rPr>
        <w:t xml:space="preserve">1. Lawyers stay responsible for the work</w:t>
      </w:r>
    </w:p>
    <w:p>
      <w:pPr>
        <w:spacing w:after="160"/>
      </w:pPr>
      <w:r>
        <w:rPr>
          <w:rFonts w:ascii="Calibri" w:hAnsi="Calibri"/>
          <w:color w:val="262626"/>
          <w:sz w:val="22"/>
        </w:rPr>
        <w:t xml:space="preserve">Our lawyers are responsible for all work the firm delivers, whatever tools helped produce it. AI can assist. It doesn't decide.</w:t>
      </w:r>
    </w:p>
    <w:p>
      <w:pPr>
        <w:spacing w:after="240"/>
      </w:pPr>
      <w:r>
        <w:rPr>
          <w:rFonts w:ascii="Calibri" w:hAnsi="Calibri"/>
          <w:color w:val="6B6B6B"/>
          <w:sz w:val="18"/>
        </w:rPr>
        <w:t xml:space="preserve">In 42 of the 77 published policies.</w:t>
      </w:r>
    </w:p>
    <w:p>
      <w:pPr>
        <w:spacing w:after="80"/>
      </w:pPr>
      <w:r>
        <w:rPr>
          <w:rFonts w:ascii="Calibri" w:hAnsi="Calibri"/>
          <w:b/>
          <w:color w:val="1A1A1A"/>
          <w:sz w:val="26"/>
        </w:rPr>
        <w:t xml:space="preserve">2. A lawyer checks what AI produces</w:t>
      </w:r>
    </w:p>
    <w:p>
      <w:pPr>
        <w:spacing w:after="160"/>
      </w:pPr>
      <w:r>
        <w:rPr>
          <w:rFonts w:ascii="Calibri" w:hAnsi="Calibri"/>
          <w:color w:val="262626"/>
          <w:sz w:val="22"/>
        </w:rPr>
        <w:t xml:space="preserve">No AI output reaches a client, a court or another party until a lawyer has reviewed it and checked its facts and citations.</w:t>
      </w:r>
    </w:p>
    <w:p>
      <w:pPr>
        <w:spacing w:after="240"/>
      </w:pPr>
      <w:r>
        <w:rPr>
          <w:rFonts w:ascii="Calibri" w:hAnsi="Calibri"/>
          <w:color w:val="6B6B6B"/>
          <w:sz w:val="18"/>
        </w:rPr>
        <w:t xml:space="preserve">In 36 of the 77 published policies.</w:t>
      </w:r>
    </w:p>
    <w:p>
      <w:pPr>
        <w:spacing w:after="80"/>
      </w:pPr>
      <w:r>
        <w:rPr>
          <w:rFonts w:ascii="Calibri" w:hAnsi="Calibri"/>
          <w:b/>
          <w:color w:val="1A1A1A"/>
          <w:sz w:val="26"/>
        </w:rPr>
        <w:t xml:space="preserve">3. Client confidences stay out of unsafe tools</w:t>
      </w:r>
    </w:p>
    <w:p>
      <w:pPr>
        <w:spacing w:after="160"/>
      </w:pPr>
      <w:r>
        <w:rPr>
          <w:rFonts w:ascii="Calibri" w:hAnsi="Calibri"/>
          <w:color w:val="262626"/>
          <w:sz w:val="22"/>
        </w:rPr>
        <w:t xml:space="preserve">We don't enter client confidential information into an AI tool unless the tool keeps it confidential.</w:t>
      </w:r>
    </w:p>
    <w:p>
      <w:pPr>
        <w:spacing w:after="240"/>
      </w:pPr>
      <w:r>
        <w:rPr>
          <w:rFonts w:ascii="Calibri" w:hAnsi="Calibri"/>
          <w:color w:val="6B6B6B"/>
          <w:sz w:val="18"/>
        </w:rPr>
        <w:t xml:space="preserve">In 33 of the 77 published policies.</w:t>
      </w:r>
    </w:p>
    <w:p>
      <w:pPr>
        <w:spacing w:after="80"/>
      </w:pPr>
      <w:r>
        <w:rPr>
          <w:rFonts w:ascii="Calibri" w:hAnsi="Calibri"/>
          <w:b/>
          <w:color w:val="1A1A1A"/>
          <w:sz w:val="26"/>
        </w:rPr>
        <w:t xml:space="preserve">4. Data security and privacy</w:t>
      </w:r>
    </w:p>
    <w:p>
      <w:pPr>
        <w:spacing w:after="160"/>
      </w:pPr>
      <w:r>
        <w:rPr>
          <w:rFonts w:ascii="Calibri" w:hAnsi="Calibri"/>
          <w:color w:val="262626"/>
          <w:sz w:val="22"/>
        </w:rPr>
        <w:t xml:space="preserve">The AI tools we use meet the same security and privacy standards as our other systems.</w:t>
      </w:r>
    </w:p>
    <w:p>
      <w:pPr>
        <w:spacing w:after="240"/>
      </w:pPr>
      <w:r>
        <w:rPr>
          <w:rFonts w:ascii="Calibri" w:hAnsi="Calibri"/>
          <w:color w:val="6B6B6B"/>
          <w:sz w:val="18"/>
        </w:rPr>
        <w:t xml:space="preserve">In 28 of the 77 published policies.</w:t>
      </w:r>
    </w:p>
    <w:p>
      <w:pPr>
        <w:spacing w:after="80"/>
      </w:pPr>
      <w:r>
        <w:rPr>
          <w:rFonts w:ascii="Calibri" w:hAnsi="Calibri"/>
          <w:b/>
          <w:color w:val="1A1A1A"/>
          <w:sz w:val="26"/>
        </w:rPr>
        <w:t xml:space="preserve">5. The conduct rules and bar guidance on AI</w:t>
      </w:r>
    </w:p>
    <w:p>
      <w:pPr>
        <w:spacing w:after="160"/>
      </w:pPr>
      <w:r>
        <w:rPr>
          <w:rFonts w:ascii="Calibri" w:hAnsi="Calibri"/>
          <w:color w:val="262626"/>
          <w:sz w:val="22"/>
        </w:rPr>
        <w:t xml:space="preserve">Our use of AI follows the rules of professional conduct and our bar's guidance on AI, including ABA Formal Opinion 512.</w:t>
      </w:r>
    </w:p>
    <w:p>
      <w:pPr>
        <w:spacing w:after="240"/>
      </w:pPr>
      <w:r>
        <w:rPr>
          <w:rFonts w:ascii="Calibri" w:hAnsi="Calibri"/>
          <w:color w:val="6B6B6B"/>
          <w:sz w:val="18"/>
        </w:rPr>
        <w:t xml:space="preserve">In 28 of the 77 published policies.</w:t>
      </w:r>
    </w:p>
    <w:p>
      <w:pPr>
        <w:spacing w:after="80"/>
      </w:pPr>
      <w:r>
        <w:rPr>
          <w:rFonts w:ascii="Calibri" w:hAnsi="Calibri"/>
          <w:b/>
          <w:color w:val="1A1A1A"/>
          <w:sz w:val="26"/>
        </w:rPr>
        <w:t xml:space="preserve">6. Approved tools only</w:t>
      </w:r>
    </w:p>
    <w:p>
      <w:pPr>
        <w:spacing w:after="160"/>
      </w:pPr>
      <w:r>
        <w:rPr>
          <w:rFonts w:ascii="Calibri" w:hAnsi="Calibri"/>
          <w:color w:val="262626"/>
          <w:sz w:val="22"/>
        </w:rPr>
        <w:t xml:space="preserve">Lawyers and staff use only the AI tools the firm has reviewed and approved for client work.</w:t>
      </w:r>
    </w:p>
    <w:p>
      <w:pPr>
        <w:spacing w:after="240"/>
      </w:pPr>
      <w:r>
        <w:rPr>
          <w:rFonts w:ascii="Calibri" w:hAnsi="Calibri"/>
          <w:color w:val="6B6B6B"/>
          <w:sz w:val="18"/>
        </w:rPr>
        <w:t xml:space="preserve">In 28 of the 77 published policies.</w:t>
      </w:r>
    </w:p>
    <w:p>
      <w:pPr>
        <w:spacing w:after="80"/>
      </w:pPr>
      <w:r>
        <w:rPr>
          <w:rFonts w:ascii="Calibri" w:hAnsi="Calibri"/>
          <w:b/>
          <w:color w:val="1A1A1A"/>
          <w:sz w:val="26"/>
        </w:rPr>
        <w:t xml:space="preserve">7. Clients are told, or asked</w:t>
      </w:r>
    </w:p>
    <w:p>
      <w:pPr>
        <w:spacing w:after="160"/>
      </w:pPr>
      <w:r>
        <w:rPr>
          <w:rFonts w:ascii="Calibri" w:hAnsi="Calibri"/>
          <w:color w:val="262626"/>
          <w:sz w:val="22"/>
        </w:rPr>
        <w:t xml:space="preserve">We tell clients when AI plays a significant part in their matter, and we ask their consent where the rules require it.</w:t>
      </w:r>
    </w:p>
    <w:p>
      <w:pPr>
        <w:spacing w:after="240"/>
      </w:pPr>
      <w:r>
        <w:rPr>
          <w:rFonts w:ascii="Calibri" w:hAnsi="Calibri"/>
          <w:color w:val="6B6B6B"/>
          <w:sz w:val="18"/>
        </w:rPr>
        <w:t xml:space="preserve">In 17 of the 77 published policies.</w:t>
      </w:r>
    </w:p>
    <w:p>
      <w:pPr>
        <w:spacing w:after="80"/>
      </w:pPr>
      <w:r>
        <w:rPr>
          <w:rFonts w:ascii="Calibri" w:hAnsi="Calibri"/>
          <w:b/>
          <w:color w:val="1A1A1A"/>
          <w:sz w:val="26"/>
        </w:rPr>
        <w:t xml:space="preserve">8. No training on client data</w:t>
      </w:r>
    </w:p>
    <w:p>
      <w:pPr>
        <w:spacing w:after="160"/>
      </w:pPr>
      <w:r>
        <w:rPr>
          <w:rFonts w:ascii="Calibri" w:hAnsi="Calibri"/>
          <w:color w:val="262626"/>
          <w:sz w:val="22"/>
        </w:rPr>
        <w:t xml:space="preserve">We don't let AI vendors use client information to train their models.</w:t>
      </w:r>
    </w:p>
    <w:p>
      <w:pPr>
        <w:spacing w:after="240"/>
      </w:pPr>
      <w:r>
        <w:rPr>
          <w:rFonts w:ascii="Calibri" w:hAnsi="Calibri"/>
          <w:color w:val="6B6B6B"/>
          <w:sz w:val="18"/>
        </w:rPr>
        <w:t xml:space="preserve">In 16 of the 77 published policies.</w:t>
      </w:r>
    </w:p>
    <w:p>
      <w:pPr>
        <w:spacing w:after="80"/>
      </w:pPr>
      <w:r>
        <w:rPr>
          <w:rFonts w:ascii="Calibri" w:hAnsi="Calibri"/>
          <w:b/>
          <w:color w:val="1A1A1A"/>
          <w:sz w:val="26"/>
        </w:rPr>
        <w:t xml:space="preserve">9. How AI work is billed</w:t>
      </w:r>
    </w:p>
    <w:p>
      <w:pPr>
        <w:spacing w:after="160"/>
      </w:pPr>
      <w:r>
        <w:rPr>
          <w:rFonts w:ascii="Calibri" w:hAnsi="Calibri"/>
          <w:color w:val="262626"/>
          <w:sz w:val="22"/>
        </w:rPr>
        <w:t xml:space="preserve">We bill for the time our lawyers actually spend. We don't bill for time AI saved.</w:t>
      </w:r>
    </w:p>
    <w:p>
      <w:pPr>
        <w:spacing w:after="240"/>
      </w:pPr>
      <w:r>
        <w:rPr>
          <w:rFonts w:ascii="Calibri" w:hAnsi="Calibri"/>
          <w:color w:val="6B6B6B"/>
          <w:sz w:val="18"/>
        </w:rPr>
        <w:t xml:space="preserve">In 11 of the 77 published policies.</w:t>
      </w:r>
    </w:p>
    <w:p>
      <w:pPr>
        <w:spacing w:after="80"/>
      </w:pPr>
      <w:r>
        <w:rPr>
          <w:rFonts w:ascii="Calibri" w:hAnsi="Calibri"/>
          <w:b/>
          <w:color w:val="1A1A1A"/>
          <w:sz w:val="26"/>
        </w:rPr>
        <w:t xml:space="preserve">10. Staff are trained first</w:t>
      </w:r>
    </w:p>
    <w:p>
      <w:pPr>
        <w:spacing w:after="160"/>
      </w:pPr>
      <w:r>
        <w:rPr>
          <w:rFonts w:ascii="Calibri" w:hAnsi="Calibri"/>
          <w:color w:val="262626"/>
          <w:sz w:val="22"/>
        </w:rPr>
        <w:t xml:space="preserve">Everyone at the firm is trained before using AI tools for client work.</w:t>
      </w:r>
    </w:p>
    <w:p>
      <w:pPr>
        <w:spacing w:after="240"/>
      </w:pPr>
      <w:r>
        <w:rPr>
          <w:rFonts w:ascii="Calibri" w:hAnsi="Calibri"/>
          <w:color w:val="6B6B6B"/>
          <w:sz w:val="18"/>
        </w:rPr>
        <w:t xml:space="preserve">In 8 of the 77 published policies.</w:t>
      </w:r>
    </w:p>
    <w:p>
      <w:pPr>
        <w:spacing w:after="80"/>
      </w:pPr>
      <w:r>
        <w:rPr>
          <w:rFonts w:ascii="Calibri" w:hAnsi="Calibri"/>
          <w:b/>
          <w:color w:val="1A1A1A"/>
          <w:sz w:val="26"/>
        </w:rPr>
        <w:t xml:space="preserve">11. The policy is reviewed as AI changes</w:t>
      </w:r>
    </w:p>
    <w:p>
      <w:pPr>
        <w:spacing w:after="160"/>
      </w:pPr>
      <w:r>
        <w:rPr>
          <w:rFonts w:ascii="Calibri" w:hAnsi="Calibri"/>
          <w:color w:val="262626"/>
          <w:sz w:val="22"/>
        </w:rPr>
        <w:t xml:space="preserve">We review this policy at least once a year, and sooner when the rules or the tools change.</w:t>
      </w:r>
    </w:p>
    <w:p>
      <w:pPr>
        <w:spacing w:after="240"/>
      </w:pPr>
      <w:r>
        <w:rPr>
          <w:rFonts w:ascii="Calibri" w:hAnsi="Calibri"/>
          <w:color w:val="6B6B6B"/>
          <w:sz w:val="18"/>
        </w:rPr>
        <w:t xml:space="preserve">In 8 of the 77 published policies.</w:t>
      </w:r>
    </w:p>
    <w:p>
      <w:pPr>
        <w:spacing w:after="80"/>
      </w:pPr>
      <w:r>
        <w:rPr>
          <w:rFonts w:ascii="Calibri" w:hAnsi="Calibri"/>
          <w:b/>
          <w:color w:val="1A1A1A"/>
          <w:sz w:val="26"/>
        </w:rPr>
        <w:t xml:space="preserve">12. Output is checked for bias</w:t>
      </w:r>
    </w:p>
    <w:p>
      <w:pPr>
        <w:spacing w:after="160"/>
      </w:pPr>
      <w:r>
        <w:rPr>
          <w:rFonts w:ascii="Calibri" w:hAnsi="Calibri"/>
          <w:color w:val="262626"/>
          <w:sz w:val="22"/>
        </w:rPr>
        <w:t xml:space="preserve">We check AI output for bias before relying on it.</w:t>
      </w:r>
    </w:p>
    <w:p>
      <w:pPr>
        <w:spacing w:after="240"/>
      </w:pPr>
      <w:r>
        <w:rPr>
          <w:rFonts w:ascii="Calibri" w:hAnsi="Calibri"/>
          <w:color w:val="6B6B6B"/>
          <w:sz w:val="18"/>
        </w:rPr>
        <w:t xml:space="preserve">In 3 of the 77 published policies.</w:t>
      </w:r>
    </w:p>
    <w:p>
      <w:pPr>
        <w:spacing w:after="80"/>
      </w:pPr>
      <w:r>
        <w:rPr>
          <w:rFonts w:ascii="Calibri" w:hAnsi="Calibri"/>
          <w:b/>
          <w:color w:val="1A1A1A"/>
          <w:sz w:val="26"/>
        </w:rPr>
        <w:t xml:space="preserve">If your website uses AI</w:t>
      </w:r>
    </w:p>
    <w:p>
      <w:pPr>
        <w:spacing w:after="160"/>
      </w:pPr>
      <w:r>
        <w:rPr>
          <w:rFonts w:ascii="Calibri" w:hAnsi="Calibri"/>
          <w:color w:val="262626"/>
          <w:sz w:val="22"/>
        </w:rPr>
        <w:t xml:space="preserve">Parts of this website were drafted with AI and reviewed by our lawyers.</w:t>
      </w:r>
    </w:p>
    <w:p>
      <w:pPr>
        <w:spacing w:after="240"/>
      </w:pPr>
      <w:r>
        <w:rPr>
          <w:rFonts w:ascii="Calibri" w:hAnsi="Calibri"/>
          <w:color w:val="6B6B6B"/>
          <w:sz w:val="18"/>
        </w:rPr>
        <w:t xml:space="preserve">In 7 of the 77 published policies.</w:t>
      </w:r>
    </w:p>
    <w:p>
      <w:pPr>
        <w:spacing w:after="160"/>
      </w:pPr>
      <w:r>
        <w:rPr>
          <w:rFonts w:ascii="Calibri" w:hAnsi="Calibri"/>
          <w:color w:val="262626"/>
          <w:sz w:val="22"/>
        </w:rPr>
        <w:t xml:space="preserve">The AI assistant on this website gives general information, not legal advice, and using it doesn't make you our client.</w:t>
      </w:r>
    </w:p>
    <w:p>
      <w:pPr>
        <w:spacing w:after="240"/>
      </w:pPr>
      <w:r>
        <w:rPr>
          <w:rFonts w:ascii="Calibri" w:hAnsi="Calibri"/>
          <w:color w:val="6B6B6B"/>
          <w:sz w:val="18"/>
        </w:rPr>
        <w:t xml:space="preserve">In 8 of the 77 published policies.</w:t>
      </w:r>
    </w:p>
    <w:sectPr>
      <w:pgSz w:w="12240" w:h="15840"/>
      <w:pgMar w:top="1440" w:right="1440" w:bottom="1440" w:left="1440"/>
    </w:sectPr>
  </w:body>
</w:document>
</file>